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Setting Up to Submit Federal Grants — Best Practices</w:t>
      </w:r>
    </w:p>
    <w:bookmarkStart w:id="33" w:name="setting-up-to-submit-federal-grants"/>
    <w:p>
      <w:pPr>
        <w:pStyle w:val="Heading1"/>
      </w:pPr>
      <w:r>
        <w:t xml:space="preserve">Setting Up to Submit Federal Grants</w:t>
      </w:r>
    </w:p>
    <w:p>
      <w:pPr>
        <w:pStyle w:val="FirstParagraph"/>
      </w:pPr>
      <w:r>
        <w:rPr>
          <w:i/>
          <w:iCs/>
        </w:rPr>
        <w:t xml:space="preserve">A practical setup guide for the accounts, identifiers, and team workflows you need before your first SBIR, STTR, or research-grant submission. Done up front, this saves your team two weeks of unblocking work the night a deadline is two days out.</w:t>
      </w:r>
    </w:p>
    <w:p>
      <w:pPr>
        <w:pStyle w:val="BlockText"/>
      </w:pPr>
      <w:r>
        <w:rPr>
          <w:b/>
          <w:bCs/>
        </w:rPr>
        <w:t xml:space="preserve">Important:</w:t>
      </w:r>
      <w:r>
        <w:t xml:space="preserve"> </w:t>
      </w:r>
      <w:r>
        <w:t xml:space="preserve">This is a practical operations guide, not legal or compliance advice. Federal portals change UI, requirements, and policies frequently — verify deadlines and current rules with each agency before you submit.</w:t>
      </w:r>
    </w:p>
    <w:p>
      <w:r>
        <w:pict>
          <v:rect style="width:0;height:1.5pt" o:hralign="center" o:hrstd="t" o:hr="t"/>
        </w:pict>
      </w:r>
    </w:p>
    <w:bookmarkStart w:id="10" w:name="Xaf59b9b5ec6759058d5f0887ca3bd0bec21e767"/>
    <w:p>
      <w:pPr>
        <w:pStyle w:val="Heading2"/>
      </w:pPr>
      <w:r>
        <w:t xml:space="preserve">1. Set up a grants distribution list / shared mailbox first</w:t>
      </w:r>
    </w:p>
    <w:p>
      <w:pPr>
        <w:pStyle w:val="FirstParagraph"/>
      </w:pPr>
      <w:r>
        <w:t xml:space="preserve">Before you touch a single federal portal, set up a</w:t>
      </w:r>
      <w:r>
        <w:t xml:space="preserve"> </w:t>
      </w:r>
      <w:r>
        <w:rPr>
          <w:b/>
          <w:bCs/>
        </w:rPr>
        <w:t xml:space="preserve">shared mailbox</w:t>
      </w:r>
      <w:r>
        <w:t xml:space="preserve"> </w:t>
      </w:r>
      <w:r>
        <w:t xml:space="preserve">for grant correspondence. Every account you'll create — SAM.gov, Login.gov, ORCID, eRA Commons, agency portals, program-manager threads — sends confirmation emails, password resets, deadline notices, and reviewer correspondence to</w:t>
      </w:r>
      <w:r>
        <w:t xml:space="preserve"> </w:t>
      </w:r>
      <w:r>
        <w:rPr>
          <w:i/>
          <w:iCs/>
        </w:rPr>
        <w:t xml:space="preserve">one</w:t>
      </w:r>
      <w:r>
        <w:t xml:space="preserve"> </w:t>
      </w:r>
      <w:r>
        <w:t xml:space="preserve">email address. That address should be a shared inbox, not a personal account.</w:t>
      </w:r>
    </w:p>
    <w:p>
      <w:pPr>
        <w:pStyle w:val="BodyText"/>
      </w:pPr>
      <w:r>
        <w:t xml:space="preserve">Reasons:</w:t>
      </w:r>
    </w:p>
    <w:p>
      <w:pPr>
        <w:pStyle w:val="Compact"/>
        <w:numPr>
          <w:ilvl w:val="0"/>
          <w:numId w:val="1001"/>
        </w:numPr>
      </w:pPr>
      <w:r>
        <w:t xml:space="preserve">the central archive doesn't live in one founder's personal inbox;</w:t>
      </w:r>
    </w:p>
    <w:p>
      <w:pPr>
        <w:pStyle w:val="Compact"/>
        <w:numPr>
          <w:ilvl w:val="0"/>
          <w:numId w:val="1001"/>
        </w:numPr>
      </w:pPr>
      <w:r>
        <w:t xml:space="preserve">multiple team members can respond to program managers and help desks;</w:t>
      </w:r>
    </w:p>
    <w:p>
      <w:pPr>
        <w:pStyle w:val="Compact"/>
        <w:numPr>
          <w:ilvl w:val="0"/>
          <w:numId w:val="1001"/>
        </w:numPr>
      </w:pPr>
      <w:r>
        <w:t xml:space="preserve">account recovery still works when someone is on vacation, mid-flight, or no longer with the company;</w:t>
      </w:r>
    </w:p>
    <w:p>
      <w:pPr>
        <w:pStyle w:val="Compact"/>
        <w:numPr>
          <w:ilvl w:val="0"/>
          <w:numId w:val="1001"/>
        </w:numPr>
      </w:pPr>
      <w:r>
        <w:t xml:space="preserve">proposal-deadline week doesn't depend on whether one person checks their email at 11 p.m.</w:t>
      </w:r>
    </w:p>
    <w:p>
      <w:pPr>
        <w:pStyle w:val="FirstParagraph"/>
      </w:pPr>
      <w:r>
        <w:rPr>
          <w:b/>
          <w:bCs/>
        </w:rPr>
        <w:t xml:space="preserve">Outlook shared inboxes</w:t>
      </w:r>
      <w:r>
        <w:t xml:space="preserve"> </w:t>
      </w:r>
      <w:r>
        <w:t xml:space="preserve">are ideal — multiple users can send-as the same address with a unified archive.</w:t>
      </w:r>
      <w:r>
        <w:t xml:space="preserve"> </w:t>
      </w:r>
      <w:r>
        <w:rPr>
          <w:b/>
          <w:bCs/>
        </w:rPr>
        <w:t xml:space="preserve">Google Workspace Collaborative Inboxes</w:t>
      </w:r>
      <w:r>
        <w:t xml:space="preserve"> </w:t>
      </w:r>
      <w:r>
        <w:t xml:space="preserve">(via Groups) work too. A plain distribution list is acceptable as a starting point but doesn't keep a central archive — upgrade to a shared inbox as soon as you can.</w:t>
      </w:r>
    </w:p>
    <w:bookmarkStart w:id="9" w:name="example-layout"/>
    <w:p>
      <w:pPr>
        <w:pStyle w:val="Heading3"/>
      </w:pPr>
      <w:r>
        <w:t xml:space="preserve">Example layout</w:t>
      </w:r>
    </w:p>
    <w:p>
      <w:pPr>
        <w:pStyle w:val="FirstParagraph"/>
      </w:pPr>
      <w:r>
        <w:t xml:space="preserve">For a four-person submission team: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Member</w:t>
            </w:r>
          </w:p>
        </w:tc>
        <w:tc>
          <w:tcPr/>
          <w:p>
            <w:pPr>
              <w:pStyle w:val="Compact"/>
            </w:pPr>
            <w:r>
              <w:t xml:space="preserve">Why they're on the list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</w:t>
            </w:r>
          </w:p>
        </w:tc>
        <w:tc>
          <w:tcPr/>
          <w:p>
            <w:pPr>
              <w:pStyle w:val="Compact"/>
            </w:pPr>
            <w:r>
              <w:t xml:space="preserve">Dr. Jimmy Jia</w:t>
            </w:r>
          </w:p>
        </w:tc>
        <w:tc>
          <w:tcPr/>
          <w:p>
            <w:pPr>
              <w:pStyle w:val="Compact"/>
            </w:pPr>
            <w:r>
              <w:t xml:space="preserve">Scientific direction; lead correspondent for program managers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Research team</w:t>
            </w:r>
          </w:p>
        </w:tc>
        <w:tc>
          <w:tcPr/>
          <w:p>
            <w:pPr>
              <w:pStyle w:val="Compact"/>
            </w:pPr>
            <w:r>
              <w:t xml:space="preserve">Dr. Mariela Alfonzo</w:t>
            </w:r>
          </w:p>
        </w:tc>
        <w:tc>
          <w:tcPr/>
          <w:p>
            <w:pPr>
              <w:pStyle w:val="Compact"/>
            </w:pPr>
            <w:r>
              <w:t xml:space="preserve">Technical contributions, co-authorship, follow-ups on technical questions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Operations</w:t>
            </w:r>
          </w:p>
        </w:tc>
        <w:tc>
          <w:tcPr/>
          <w:p>
            <w:pPr>
              <w:pStyle w:val="Compact"/>
            </w:pPr>
            <w:r>
              <w:t xml:space="preserve">Philip Risser</w:t>
            </w:r>
          </w:p>
        </w:tc>
        <w:tc>
          <w:tcPr/>
          <w:p>
            <w:pPr>
              <w:pStyle w:val="Compact"/>
            </w:pPr>
            <w:r>
              <w:t xml:space="preserve">Logistics, compliance, deadline tracking, budget questions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/ catch-all</w:t>
            </w:r>
          </w:p>
        </w:tc>
        <w:tc>
          <w:tcPr/>
          <w:p>
            <w:pPr>
              <w:pStyle w:val="Compact"/>
            </w:pPr>
            <w:r>
              <w:t xml:space="preserve">Evan Taylor</w:t>
            </w:r>
          </w:p>
        </w:tc>
        <w:tc>
          <w:tcPr/>
          <w:p>
            <w:pPr>
              <w:pStyle w:val="Compact"/>
            </w:pPr>
            <w:r>
              <w:t xml:space="preserve">Backup access, archive owner, escalation</w:t>
            </w:r>
          </w:p>
        </w:tc>
      </w:tr>
    </w:tbl>
    <w:p>
      <w:pPr>
        <w:pStyle w:val="BodyText"/>
      </w:pPr>
      <w:r>
        <w:t xml:space="preserve">(Names above are Science Founders board members shown for illustration only — substitute your own team.)</w:t>
      </w:r>
    </w:p>
    <w:p>
      <w:pPr>
        <w:pStyle w:val="BodyText"/>
      </w:pPr>
      <w:r>
        <w:t xml:space="preserve">Address:</w:t>
      </w:r>
      <w:r>
        <w:t xml:space="preserve"> </w:t>
      </w:r>
      <w:r>
        <w:rPr>
          <w:rStyle w:val="VerbatimChar"/>
          <w:b/>
          <w:bCs/>
        </w:rPr>
        <w:t xml:space="preserve">grants@sciencefounders.org</w:t>
      </w:r>
      <w:r>
        <w:t xml:space="preserve"> </w:t>
      </w:r>
      <w:r>
        <w:t xml:space="preserve">(use your own company's domain).</w:t>
      </w:r>
    </w:p>
    <w:p>
      <w:pPr>
        <w:pStyle w:val="BlockText"/>
      </w:pPr>
      <w:r>
        <w:rPr>
          <w:b/>
          <w:bCs/>
        </w:rPr>
        <w:t xml:space="preserve">Use this shared address as the contact email everywhere</w:t>
      </w:r>
      <w:r>
        <w:t xml:space="preserve"> </w:t>
      </w:r>
      <w:r>
        <w:t xml:space="preserve">— SAM.gov, Login.gov, ORCID admin, agency portals, proposal submissions. Personal email accounts on these systems will haunt you when someone leaves the team or transitions roles. The account-recovery flows on federal portals are slow and email-based — make sure the email survives staff changes.</w:t>
      </w:r>
    </w:p>
    <w:p>
      <w:r>
        <w:pict>
          <v:rect style="width:0;height:1.5pt" o:hralign="center" o:hrstd="t" o:hr="t"/>
        </w:pict>
      </w:r>
    </w:p>
    <w:bookmarkEnd w:id="9"/>
    <w:bookmarkEnd w:id="10"/>
    <w:bookmarkStart w:id="11" w:name="X523106c3b4aa709ff29d156a0fcfa5d705b6695"/>
    <w:p>
      <w:pPr>
        <w:pStyle w:val="Heading2"/>
      </w:pPr>
      <w:r>
        <w:t xml:space="preserve">2. SAM.gov — start here</w:t>
      </w:r>
    </w:p>
    <w:p>
      <w:pPr>
        <w:pStyle w:val="FirstParagraph"/>
      </w:pPr>
      <w:r>
        <w:t xml:space="preserve">SAM.gov is the System for Award Management.</w:t>
      </w:r>
      <w:r>
        <w:t xml:space="preserve"> </w:t>
      </w:r>
      <w:r>
        <w:rPr>
          <w:b/>
          <w:bCs/>
        </w:rPr>
        <w:t xml:space="preserve">You cannot apply for a federal grant or contract without it.</w:t>
      </w:r>
      <w:r>
        <w:t xml:space="preserve"> </w:t>
      </w:r>
      <w:r>
        <w:t xml:space="preserve">Start the registration the day your entity is formed.</w:t>
      </w:r>
    </w:p>
    <w:p>
      <w:pPr>
        <w:pStyle w:val="Compact"/>
        <w:numPr>
          <w:ilvl w:val="0"/>
          <w:numId w:val="1002"/>
        </w:numPr>
      </w:pPr>
      <w:r>
        <w:t xml:space="preserve">This is the system that issues your</w:t>
      </w:r>
      <w:r>
        <w:t xml:space="preserve"> </w:t>
      </w:r>
      <w:r>
        <w:rPr>
          <w:b/>
          <w:bCs/>
        </w:rPr>
        <w:t xml:space="preserve">UEI (Unique Entity Identifier)</w:t>
      </w:r>
      <w:r>
        <w:t xml:space="preserve"> </w:t>
      </w:r>
      <w:r>
        <w:t xml:space="preserve">— the federal government's identifier for your company. UEI replaced the old DUNS number in 2022.</w:t>
      </w:r>
    </w:p>
    <w:p>
      <w:pPr>
        <w:pStyle w:val="Compact"/>
        <w:numPr>
          <w:ilvl w:val="0"/>
          <w:numId w:val="1002"/>
        </w:numPr>
      </w:pPr>
      <w:r>
        <w:t xml:space="preserve">The registration</w:t>
      </w:r>
      <w:r>
        <w:t xml:space="preserve"> </w:t>
      </w:r>
      <w:r>
        <w:rPr>
          <w:b/>
          <w:bCs/>
        </w:rPr>
        <w:t xml:space="preserve">takes a couple of weeks</w:t>
      </w:r>
      <w:r>
        <w:t xml:space="preserve"> </w:t>
      </w:r>
      <w:r>
        <w:t xml:space="preserve">because SAM.gov verifies you have a real physical address (paper mail goes back and forth).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Virtual addresses / mailbox-style addresses have been a problem for approval since 2024.</w:t>
      </w:r>
      <w:r>
        <w:t xml:space="preserve"> </w:t>
      </w:r>
      <w:r>
        <w:t xml:space="preserve">Use a real street address. A residential lease address often works; a UPS Store or virtual-mailbox address often does not.</w:t>
      </w:r>
    </w:p>
    <w:p>
      <w:pPr>
        <w:pStyle w:val="Compact"/>
        <w:numPr>
          <w:ilvl w:val="0"/>
          <w:numId w:val="1002"/>
        </w:numPr>
      </w:pPr>
      <w:r>
        <w:t xml:space="preserve">Once you have the UEI,</w:t>
      </w:r>
      <w:r>
        <w:t xml:space="preserve"> </w:t>
      </w:r>
      <w:r>
        <w:rPr>
          <w:b/>
          <w:bCs/>
        </w:rPr>
        <w:t xml:space="preserve">save it (and your CAGE code) into a folder you can access without logging into SAM.gov</w:t>
      </w:r>
      <w:r>
        <w:t xml:space="preserve"> </w:t>
      </w:r>
      <w:r>
        <w:t xml:space="preserve">— these systems go down for scheduled maintenance frequently, and you'll need to paste the UEI onto every proposal cover sheet.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Where it comes from</w:t>
            </w:r>
          </w:p>
        </w:tc>
        <w:tc>
          <w:tcPr/>
          <w:p>
            <w:pPr>
              <w:pStyle w:val="Compact"/>
            </w:pPr>
            <w:r>
              <w:t xml:space="preserve">Save offline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UEI</w:t>
            </w:r>
          </w:p>
        </w:tc>
        <w:tc>
          <w:tcPr/>
          <w:p>
            <w:pPr>
              <w:pStyle w:val="Compact"/>
            </w:pPr>
            <w:r>
              <w:t xml:space="preserve">SAM.gov registration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CAGE code</w:t>
            </w:r>
          </w:p>
        </w:tc>
        <w:tc>
          <w:tcPr/>
          <w:p>
            <w:pPr>
              <w:pStyle w:val="Compact"/>
            </w:pPr>
            <w:r>
              <w:t xml:space="preserve">Auto-issued after SAM.gov approval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Registration expiration</w:t>
            </w:r>
          </w:p>
        </w:tc>
        <w:tc>
          <w:tcPr/>
          <w:p>
            <w:pPr>
              <w:pStyle w:val="Compact"/>
            </w:pPr>
            <w:r>
              <w:t xml:space="preserve">One year from issuance</w:t>
            </w:r>
          </w:p>
        </w:tc>
        <w:tc>
          <w:tcPr/>
          <w:p>
            <w:pPr>
              <w:pStyle w:val="Compact"/>
            </w:pPr>
            <w:r>
              <w:t xml:space="preserve">Calendar reminder 60 days out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SAM.gov account admin email</w:t>
            </w:r>
          </w:p>
        </w:tc>
        <w:tc>
          <w:tcPr/>
          <w:p>
            <w:pPr>
              <w:pStyle w:val="Compact"/>
            </w:pPr>
            <w:r>
              <w:t xml:space="preserve">Your shared</w:t>
            </w:r>
            <w:r>
              <w:t xml:space="preserve"> </w:t>
            </w:r>
            <w:r>
              <w:rPr>
                <w:rStyle w:val="VerbatimChar"/>
              </w:rPr>
              <w:t xml:space="preserve">grants@</w:t>
            </w:r>
            <w:r>
              <w:t xml:space="preserve"> </w:t>
            </w:r>
            <w:r>
              <w:t xml:space="preserve">mailbox</w:t>
            </w:r>
          </w:p>
        </w:tc>
        <w:tc>
          <w:tcPr/>
          <w:p>
            <w:pPr>
              <w:pStyle w:val="Compact"/>
            </w:pPr>
            <w:r>
              <w:t xml:space="preserve">✓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"/>
    <w:bookmarkStart w:id="13" w:name="X048f6ff83c3c97a1c239779de60a909b2f0978d"/>
    <w:p>
      <w:pPr>
        <w:pStyle w:val="Heading2"/>
      </w:pPr>
      <w:r>
        <w:t xml:space="preserve">3. Login.gov — federated identity for the people who submit</w:t>
      </w:r>
    </w:p>
    <w:p>
      <w:pPr>
        <w:pStyle w:val="FirstParagraph"/>
      </w:pPr>
      <w:hyperlink r:id="rId12">
        <w:r>
          <w:rPr>
            <w:rStyle w:val="Hyperlink"/>
          </w:rPr>
          <w:t xml:space="preserve">Login.gov</w:t>
        </w:r>
      </w:hyperlink>
      <w:r>
        <w:t xml:space="preserve"> </w:t>
      </w:r>
      <w:r>
        <w:t xml:space="preserve">is a single federated login service across multiple federal grant systems. Setting it up early gives a single-sign-on identity that works on SAM.gov, Grants.gov, and several agency portals.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Necessary for PIs and Ops</w:t>
      </w:r>
      <w:r>
        <w:t xml:space="preserve"> </w:t>
      </w:r>
      <w:r>
        <w:t xml:space="preserve">— the people who actually submit proposals and manage accounts — not every research team member.</w:t>
      </w:r>
    </w:p>
    <w:p>
      <w:pPr>
        <w:pStyle w:val="Compact"/>
        <w:numPr>
          <w:ilvl w:val="0"/>
          <w:numId w:val="1003"/>
        </w:numPr>
      </w:pPr>
      <w:r>
        <w:t xml:space="preserve">Login.gov is identity-tied (multi-factor auth, real-name verification). Each PI and Ops user signs up under their</w:t>
      </w:r>
      <w:r>
        <w:t xml:space="preserve"> </w:t>
      </w:r>
      <w:r>
        <w:rPr>
          <w:b/>
          <w:bCs/>
        </w:rPr>
        <w:t xml:space="preserve">own name</w:t>
      </w:r>
      <w:r>
        <w:t xml:space="preserve"> </w:t>
      </w:r>
      <w:r>
        <w:t xml:space="preserve">with a personal-enough email to survive role changes. (The shared</w:t>
      </w:r>
      <w:r>
        <w:t xml:space="preserve"> </w:t>
      </w:r>
      <w:r>
        <w:rPr>
          <w:rStyle w:val="VerbatimChar"/>
        </w:rPr>
        <w:t xml:space="preserve">grants@</w:t>
      </w:r>
      <w:r>
        <w:t xml:space="preserve"> </w:t>
      </w:r>
      <w:r>
        <w:t xml:space="preserve">mailbox can also receive Login.gov notifications via forwarding from each user's account, but the identity is the individual.)</w:t>
      </w:r>
    </w:p>
    <w:p>
      <w:pPr>
        <w:pStyle w:val="Compact"/>
        <w:numPr>
          <w:ilvl w:val="0"/>
          <w:numId w:val="1003"/>
        </w:numPr>
      </w:pPr>
      <w:r>
        <w:t xml:space="preserve">Some agencies require Login.gov authentication; others use their own identity systems. Setting up Login.gov first keeps options open.</w:t>
      </w:r>
    </w:p>
    <w:p>
      <w:r>
        <w:pict>
          <v:rect style="width:0;height:1.5pt" o:hralign="center" o:hrstd="t" o:hr="t"/>
        </w:pict>
      </w:r>
    </w:p>
    <w:bookmarkEnd w:id="13"/>
    <w:bookmarkStart w:id="15" w:name="X765b54650cf552752792b2989e6aab9a4a17d03"/>
    <w:p>
      <w:pPr>
        <w:pStyle w:val="Heading2"/>
      </w:pPr>
      <w:r>
        <w:t xml:space="preserve">4. ORCID — every named team member needs one</w:t>
      </w:r>
    </w:p>
    <w:p>
      <w:pPr>
        <w:pStyle w:val="FirstParagraph"/>
      </w:pPr>
      <w:hyperlink r:id="rId14">
        <w:r>
          <w:rPr>
            <w:rStyle w:val="Hyperlink"/>
          </w:rPr>
          <w:t xml:space="preserve">ORCID</w:t>
        </w:r>
      </w:hyperlink>
      <w:r>
        <w:t xml:space="preserve"> </w:t>
      </w:r>
      <w:r>
        <w:t xml:space="preserve">is both a federated login system and a research-activity platform. It's the single source of truth for an individual's publication record and grant track record — and federal grant systems (especially NSF and NIH) increasingly pull from it directly.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Every research team member</w:t>
      </w:r>
      <w:r>
        <w:t xml:space="preserve"> </w:t>
      </w:r>
      <w:r>
        <w:t xml:space="preserve">with publications, OR who will appear as named senior / key personnel on a grant proposal, should have an ORCID iD and keep it current.</w:t>
      </w:r>
    </w:p>
    <w:p>
      <w:pPr>
        <w:pStyle w:val="Compact"/>
        <w:numPr>
          <w:ilvl w:val="0"/>
          <w:numId w:val="1004"/>
        </w:numPr>
      </w:pPr>
      <w:r>
        <w:t xml:space="preserve">Use a</w:t>
      </w:r>
      <w:r>
        <w:t xml:space="preserve"> </w:t>
      </w:r>
      <w:r>
        <w:rPr>
          <w:b/>
          <w:bCs/>
        </w:rPr>
        <w:t xml:space="preserve">personal email</w:t>
      </w:r>
      <w:r>
        <w:t xml:space="preserve"> </w:t>
      </w:r>
      <w:r>
        <w:t xml:space="preserve">for the ORCID account (or list one as a backup). ORCID identities are designed to travel with the person across employers — they don't belong to the company.</w:t>
      </w:r>
    </w:p>
    <w:p>
      <w:pPr>
        <w:pStyle w:val="Compact"/>
        <w:numPr>
          <w:ilvl w:val="0"/>
          <w:numId w:val="1004"/>
        </w:numPr>
      </w:pPr>
      <w:r>
        <w:t xml:space="preserve">Federated-login coverage is broad: Research.gov, NIH eRA Commons, SciENcv, and many publisher submission systems all accept ORCID as a verified identity.</w:t>
      </w:r>
    </w:p>
    <w:p>
      <w:pPr>
        <w:pStyle w:val="Compact"/>
        <w:numPr>
          <w:ilvl w:val="0"/>
          <w:numId w:val="1004"/>
        </w:numPr>
      </w:pPr>
      <w:r>
        <w:t xml:space="preserve">Maintain the full CV in ORCID — education, employment, affiliations, funding history, publications.</w:t>
      </w:r>
      <w:r>
        <w:t xml:space="preserve"> </w:t>
      </w:r>
      <w:r>
        <w:rPr>
          <w:b/>
          <w:bCs/>
        </w:rPr>
        <w:t xml:space="preserve">SciENcv (next section) pulls directly from this</w:t>
      </w:r>
      <w:r>
        <w:t xml:space="preserve">, so an up-to-date ORCID profile is the fastest way to a one-click BioSketch.</w:t>
      </w:r>
    </w:p>
    <w:p>
      <w:pPr>
        <w:pStyle w:val="BlockText"/>
      </w:pPr>
      <w:r>
        <w:rPr>
          <w:b/>
          <w:bCs/>
        </w:rPr>
        <w:t xml:space="preserve">Suggestion.</w:t>
      </w:r>
      <w:r>
        <w:t xml:space="preserve"> </w:t>
      </w:r>
      <w:r>
        <w:t xml:space="preserve">Use a personal email account as the primary contact on ORCID, with your company / institution email as a secondary. That way the account moves with you when affiliations change.</w:t>
      </w:r>
    </w:p>
    <w:p>
      <w:r>
        <w:pict>
          <v:rect style="width:0;height:1.5pt" o:hralign="center" o:hrstd="t" o:hr="t"/>
        </w:pict>
      </w:r>
    </w:p>
    <w:bookmarkEnd w:id="15"/>
    <w:bookmarkStart w:id="17" w:name="X7e305cbb67539ef57cf93d094b44f91ab67ae61"/>
    <w:p>
      <w:pPr>
        <w:pStyle w:val="Heading2"/>
      </w:pPr>
      <w:r>
        <w:t xml:space="preserve">5. NIH SciENcv — auto-generate your BioSketch and Current &amp; Pending</w:t>
      </w:r>
    </w:p>
    <w:p>
      <w:pPr>
        <w:pStyle w:val="FirstParagraph"/>
      </w:pPr>
      <w:hyperlink r:id="rId16">
        <w:r>
          <w:rPr>
            <w:rStyle w:val="Hyperlink"/>
          </w:rPr>
          <w:t xml:space="preserve">SciENcv</w:t>
        </w:r>
      </w:hyperlink>
      <w:r>
        <w:t xml:space="preserve"> </w:t>
      </w:r>
      <w:r>
        <w:t xml:space="preserve">(Science Experts Network Curriculum Vitae) is an NCBI-hosted service that</w:t>
      </w:r>
      <w:r>
        <w:t xml:space="preserve"> </w:t>
      </w:r>
      <w:r>
        <w:rPr>
          <w:b/>
          <w:bCs/>
        </w:rPr>
        <w:t xml:space="preserve">automatically generates biographical sketches and certified Current &amp; Pending (Other) Support forms for NSF, NIH, and the Department of Energy</w:t>
      </w:r>
      <w:r>
        <w:t xml:space="preserve"> </w:t>
      </w:r>
      <w:r>
        <w:t xml:space="preserve">from a maintained ORCID profile.</w:t>
      </w:r>
    </w:p>
    <w:p>
      <w:pPr>
        <w:pStyle w:val="BodyText"/>
      </w:pPr>
      <w:r>
        <w:t xml:space="preserve">Why this matters: most federal proposals require a BioSketch for each senior / key person, and a Current &amp; Pending Support form for each PI. Both are tedious to fill in by hand, error-prone, and have to be re-done in slightly different formats for every proposal. SciENcv lets you maintain the data once in ORCID, then generate a properly formatted PDF on demand in the right agency template.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Necessary for all research team members</w:t>
      </w:r>
      <w:r>
        <w:t xml:space="preserve"> </w:t>
      </w:r>
      <w:r>
        <w:t xml:space="preserve">who appear as senior / key personnel on a proposal.</w:t>
      </w:r>
    </w:p>
    <w:p>
      <w:pPr>
        <w:pStyle w:val="Compact"/>
        <w:numPr>
          <w:ilvl w:val="0"/>
          <w:numId w:val="1005"/>
        </w:numPr>
      </w:pPr>
      <w:r>
        <w:t xml:space="preserve">SciENcv supports federated login with ORCID and with NSF Research.gov accounts.</w:t>
      </w:r>
    </w:p>
    <w:p>
      <w:pPr>
        <w:pStyle w:val="Compact"/>
        <w:numPr>
          <w:ilvl w:val="0"/>
          <w:numId w:val="1005"/>
        </w:numPr>
      </w:pPr>
      <w:r>
        <w:t xml:space="preserve">Output formats include</w:t>
      </w:r>
      <w:r>
        <w:t xml:space="preserve"> </w:t>
      </w:r>
      <w:r>
        <w:rPr>
          <w:b/>
          <w:bCs/>
        </w:rPr>
        <w:t xml:space="preserve">NSF BioSketch, NSF Current &amp; Pending Support, NIH BioSketch, DOE BioSketch, DOE Current &amp; Pending (Other) Support, and IES BioSketch.</w:t>
      </w:r>
    </w:p>
    <w:p>
      <w:pPr>
        <w:pStyle w:val="FirstParagraph"/>
      </w:pPr>
      <w:r>
        <w:t xml:space="preserve">The workflow:</w:t>
      </w:r>
    </w:p>
    <w:p>
      <w:pPr>
        <w:pStyle w:val="Compact"/>
        <w:numPr>
          <w:ilvl w:val="0"/>
          <w:numId w:val="1006"/>
        </w:numPr>
      </w:pPr>
      <w:r>
        <w:t xml:space="preserve">Each team member registers an ORCID iD.</w:t>
      </w:r>
    </w:p>
    <w:p>
      <w:pPr>
        <w:pStyle w:val="Compact"/>
        <w:numPr>
          <w:ilvl w:val="0"/>
          <w:numId w:val="1006"/>
        </w:numPr>
      </w:pPr>
      <w:r>
        <w:t xml:space="preserve">Each team member maintains education, employment, and publications in ORCID month-to-month.</w:t>
      </w:r>
    </w:p>
    <w:p>
      <w:pPr>
        <w:pStyle w:val="Compact"/>
        <w:numPr>
          <w:ilvl w:val="0"/>
          <w:numId w:val="1006"/>
        </w:numPr>
      </w:pPr>
      <w:r>
        <w:t xml:space="preserve">When a proposal is due, log into SciENcv, link ORCID, and generate the BioSketch and Current &amp; Pending PDFs in the agency-specific format.</w:t>
      </w:r>
    </w:p>
    <w:p>
      <w:pPr>
        <w:pStyle w:val="Compact"/>
        <w:numPr>
          <w:ilvl w:val="0"/>
          <w:numId w:val="1006"/>
        </w:numPr>
      </w:pPr>
      <w:r>
        <w:t xml:space="preserve">Attach to the proposal package.</w:t>
      </w:r>
    </w:p>
    <w:p>
      <w:pPr>
        <w:pStyle w:val="FirstParagraph"/>
      </w:pPr>
      <w:r>
        <w:t xml:space="preserve">If you keep ORCID current, generating a BioSketch the day before a deadline takes minutes instead of hours. If you let ORCID go stale, you'll be hand-editing PDFs at 2 a.m. with the wrong template.</w:t>
      </w:r>
    </w:p>
    <w:p>
      <w:r>
        <w:pict>
          <v:rect style="width:0;height:1.5pt" o:hralign="center" o:hrstd="t" o:hr="t"/>
        </w:pict>
      </w:r>
    </w:p>
    <w:bookmarkEnd w:id="17"/>
    <w:bookmarkStart w:id="20" w:name="X44a1ebf396d4d633f906c79451d327d2fdfe1c9"/>
    <w:p>
      <w:pPr>
        <w:pStyle w:val="Heading2"/>
      </w:pPr>
      <w:r>
        <w:t xml:space="preserve">6. Grants.gov — designate your Authorized Organization Representative (AOR)</w:t>
      </w:r>
    </w:p>
    <w:p>
      <w:pPr>
        <w:pStyle w:val="FirstParagraph"/>
      </w:pPr>
      <w:hyperlink r:id="rId18">
        <w:r>
          <w:rPr>
            <w:rStyle w:val="Hyperlink"/>
          </w:rPr>
          <w:t xml:space="preserve">Grants.gov</w:t>
        </w:r>
      </w:hyperlink>
      <w:r>
        <w:t xml:space="preserve"> </w:t>
      </w:r>
      <w:r>
        <w:t xml:space="preserve">is the cross-agency portal where many federal opportunities are listed and proposals are submitted.</w:t>
      </w:r>
      <w:r>
        <w:t xml:space="preserve"> </w:t>
      </w:r>
      <w:r>
        <w:rPr>
          <w:b/>
          <w:bCs/>
        </w:rPr>
        <w:t xml:space="preserve">Setting up Grants.gov correctly trips up almost every founder the first time</w:t>
      </w:r>
      <w:r>
        <w:t xml:space="preserve">, because of how the roles work.</w:t>
      </w:r>
    </w:p>
    <w:p>
      <w:pPr>
        <w:pStyle w:val="BlockText"/>
      </w:pPr>
      <w:r>
        <w:rPr>
          <w:b/>
          <w:bCs/>
        </w:rPr>
        <w:t xml:space="preserve">⚠ Warning.</w:t>
      </w:r>
      <w:r>
        <w:t xml:space="preserve"> </w:t>
      </w:r>
      <w:r>
        <w:t xml:space="preserve">Creating a Grants.gov account does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automatically give you permission to submit proposals on behalf of your company. You also have to be explicitly designated as an</w:t>
      </w:r>
      <w:r>
        <w:t xml:space="preserve"> </w:t>
      </w:r>
      <w:r>
        <w:rPr>
          <w:b/>
          <w:bCs/>
        </w:rPr>
        <w:t xml:space="preserve">Authorized Organization Representative (AOR)</w:t>
      </w:r>
      <w:r>
        <w:t xml:space="preserve"> </w:t>
      </w:r>
      <w:r>
        <w:t xml:space="preserve">— and this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the default. People create the account, try to submit, and find out they can't.</w:t>
      </w:r>
    </w:p>
    <w:p>
      <w:pPr>
        <w:pStyle w:val="FirstParagraph"/>
      </w:pPr>
      <w:r>
        <w:t xml:space="preserve">How it actually works: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EBiz POC.</w:t>
      </w:r>
      <w:r>
        <w:t xml:space="preserve"> </w:t>
      </w:r>
      <w:r>
        <w:t xml:space="preserve">When your company was registered on SAM.gov, one person was designated as the</w:t>
      </w:r>
      <w:r>
        <w:t xml:space="preserve"> </w:t>
      </w:r>
      <w:r>
        <w:rPr>
          <w:b/>
          <w:bCs/>
        </w:rPr>
        <w:t xml:space="preserve">E-Business Point of Contact (EBiz POC)</w:t>
      </w:r>
      <w:r>
        <w:t xml:space="preserve">. That role lives in SAM.gov and is the gatekeeper for Grants.gov — only the EBiz POC can approve other team members as AORs.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Individual account.</w:t>
      </w:r>
      <w:r>
        <w:t xml:space="preserve"> </w:t>
      </w:r>
      <w:r>
        <w:t xml:space="preserve">Each PI, administrator, or other person who will submit on Grants.gov creates their own individual Grants.gov account.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Affiliate with your organization.</w:t>
      </w:r>
      <w:r>
        <w:t xml:space="preserve"> </w:t>
      </w:r>
      <w:r>
        <w:t xml:space="preserve">During account setup, the individual selects your organization (looked up by UEI). They're added as an "Applicant" with</w:t>
      </w:r>
      <w:r>
        <w:t xml:space="preserve"> </w:t>
      </w:r>
      <w:r>
        <w:rPr>
          <w:b/>
          <w:bCs/>
        </w:rPr>
        <w:t xml:space="preserve">no submission permissions</w:t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AOR designation.</w:t>
      </w:r>
      <w:r>
        <w:t xml:space="preserve"> </w:t>
      </w:r>
      <w:r>
        <w:t xml:space="preserve">The EBiz POC logs into Grants.gov, sees the pending AOR request, and grants the role. Only then can that individual actually submit proposals on behalf of the company.</w:t>
      </w:r>
    </w:p>
    <w:p>
      <w:pPr>
        <w:pStyle w:val="FirstParagraph"/>
      </w:pPr>
      <w:r>
        <w:t xml:space="preserve">Why this trips people up:</w:t>
      </w:r>
    </w:p>
    <w:p>
      <w:pPr>
        <w:pStyle w:val="Compact"/>
        <w:numPr>
          <w:ilvl w:val="0"/>
          <w:numId w:val="1008"/>
        </w:numPr>
      </w:pPr>
      <w:r>
        <w:t xml:space="preserve">The EBiz POC role lives in</w:t>
      </w:r>
      <w:r>
        <w:t xml:space="preserve"> </w:t>
      </w:r>
      <w:r>
        <w:rPr>
          <w:b/>
          <w:bCs/>
        </w:rPr>
        <w:t xml:space="preserve">SAM.gov</w:t>
      </w:r>
      <w:r>
        <w:t xml:space="preserve">, not Grants.gov, so founders look in the wrong place trying to figure out who can approve them.</w:t>
      </w:r>
    </w:p>
    <w:p>
      <w:pPr>
        <w:pStyle w:val="Compact"/>
        <w:numPr>
          <w:ilvl w:val="0"/>
          <w:numId w:val="1008"/>
        </w:numPr>
      </w:pPr>
      <w:r>
        <w:t xml:space="preserve">A Grants.gov account that's been linked to your org but not granted AOR can look fully functional — until you hit "Submit" and get a permissions error.</w:t>
      </w:r>
    </w:p>
    <w:p>
      <w:pPr>
        <w:pStyle w:val="Compact"/>
        <w:numPr>
          <w:ilvl w:val="0"/>
          <w:numId w:val="1008"/>
        </w:numPr>
      </w:pPr>
      <w:r>
        <w:t xml:space="preserve">If your original EBiz POC has left the company and SAM.gov wasn't updated, you may have</w:t>
      </w:r>
      <w:r>
        <w:t xml:space="preserve"> </w:t>
      </w:r>
      <w:r>
        <w:rPr>
          <w:b/>
          <w:bCs/>
        </w:rPr>
        <w:t xml:space="preserve">nobody</w:t>
      </w:r>
      <w:r>
        <w:t xml:space="preserve"> </w:t>
      </w:r>
      <w:r>
        <w:t xml:space="preserve">who can grant AOR status. Updating EBiz POC in SAM.gov is itself a multi-step process — not something to discover the week of a deadline.</w:t>
      </w:r>
    </w:p>
    <w:p>
      <w:pPr>
        <w:pStyle w:val="Compact"/>
        <w:numPr>
          <w:ilvl w:val="0"/>
          <w:numId w:val="1008"/>
        </w:numPr>
      </w:pPr>
      <w:r>
        <w:t xml:space="preserve">Have</w:t>
      </w:r>
      <w:r>
        <w:t xml:space="preserve"> </w:t>
      </w:r>
      <w:r>
        <w:rPr>
          <w:b/>
          <w:bCs/>
        </w:rPr>
        <w:t xml:space="preserve">more than one AOR</w:t>
      </w:r>
      <w:r>
        <w:t xml:space="preserve">. You do not want a single person to be the only one with submission authority when a deadline is six hours away and they're on a plane.</w:t>
      </w:r>
    </w:p>
    <w:p>
      <w:pPr>
        <w:pStyle w:val="FirstParagraph"/>
      </w:pPr>
      <w:r>
        <w:t xml:space="preserve">Checklist:</w:t>
      </w:r>
    </w:p>
    <w:p>
      <w:pPr>
        <w:pStyle w:val="Compact"/>
        <w:numPr>
          <w:ilvl w:val="0"/>
          <w:numId w:val="1009"/>
        </w:numPr>
      </w:pPr>
      <w:r>
        <w:t xml:space="preserve">Confirmed who the EBiz POC is for the organization in SAM.gov.</w:t>
      </w:r>
    </w:p>
    <w:p>
      <w:pPr>
        <w:pStyle w:val="Compact"/>
        <w:numPr>
          <w:ilvl w:val="0"/>
          <w:numId w:val="1010"/>
        </w:numPr>
      </w:pPr>
      <w:r>
        <w:t xml:space="preserve">Each submitter has a Grants.gov account linked to the organization (via UEI).</w:t>
      </w:r>
    </w:p>
    <w:p>
      <w:pPr>
        <w:pStyle w:val="Compact"/>
        <w:numPr>
          <w:ilvl w:val="0"/>
          <w:numId w:val="1011"/>
        </w:numPr>
      </w:pPr>
      <w:r>
        <w:t xml:space="preserve">EBiz POC has approved each submitter as an AOR.</w:t>
      </w:r>
    </w:p>
    <w:p>
      <w:pPr>
        <w:pStyle w:val="Compact"/>
        <w:numPr>
          <w:ilvl w:val="0"/>
          <w:numId w:val="1012"/>
        </w:numPr>
      </w:pPr>
      <w:r>
        <w:t xml:space="preserve">At least two people in the organization hold AOR status.</w:t>
      </w:r>
    </w:p>
    <w:p>
      <w:pPr>
        <w:pStyle w:val="Compact"/>
        <w:numPr>
          <w:ilvl w:val="0"/>
          <w:numId w:val="1013"/>
        </w:numPr>
      </w:pPr>
      <w:r>
        <w:t xml:space="preserve">AOR list captured in your</w:t>
      </w:r>
      <w:r>
        <w:t xml:space="preserve"> </w:t>
      </w:r>
      <w:hyperlink r:id="rId19">
        <w:r>
          <w:rPr>
            <w:rStyle w:val="Hyperlink"/>
          </w:rPr>
          <w:t xml:space="preserve">Company Facts template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20"/>
    <w:bookmarkStart w:id="22" w:name="Xe73351c51c00a674e8d793c95e8179efe408fd6"/>
    <w:p>
      <w:pPr>
        <w:pStyle w:val="Heading2"/>
      </w:pPr>
      <w:r>
        <w:t xml:space="preserve">7. DOE PAMS — read this before you log in</w:t>
      </w:r>
    </w:p>
    <w:p>
      <w:pPr>
        <w:pStyle w:val="FirstParagraph"/>
      </w:pPr>
      <w:r>
        <w:t xml:space="preserve">If you're applying for Department of Energy SBIRs, DOE Office of Science grants, or related programs, you'll use</w:t>
      </w:r>
      <w:r>
        <w:t xml:space="preserve"> </w:t>
      </w:r>
      <w:r>
        <w:rPr>
          <w:b/>
          <w:bCs/>
        </w:rPr>
        <w:t xml:space="preserve">PAMS (Portfolio Analysis and Management System)</w:t>
      </w:r>
      <w:r>
        <w:t xml:space="preserve"> </w:t>
      </w:r>
      <w:r>
        <w:t xml:space="preserve">at</w:t>
      </w:r>
      <w:r>
        <w:t xml:space="preserve"> </w:t>
      </w:r>
      <w:hyperlink r:id="rId21">
        <w:r>
          <w:rPr>
            <w:rStyle w:val="Hyperlink"/>
          </w:rPr>
          <w:t xml:space="preserve">https://pamspublic.science.energy.gov</w:t>
        </w:r>
      </w:hyperlink>
      <w:r>
        <w:t xml:space="preserve">.</w:t>
      </w:r>
    </w:p>
    <w:p>
      <w:pPr>
        <w:pStyle w:val="BlockText"/>
      </w:pPr>
      <w:r>
        <w:rPr>
          <w:b/>
          <w:bCs/>
        </w:rPr>
        <w:t xml:space="preserve">⚠ WARNING — DO NOT CLOSE YOUR BROWSER WHILE LOGGED INTO PAMS.</w:t>
      </w:r>
      <w:r>
        <w:t xml:space="preserve"> </w:t>
      </w:r>
      <w:r>
        <w:t xml:space="preserve">Closing the browser tab or window without using the green</w:t>
      </w:r>
      <w:r>
        <w:t xml:space="preserve"> </w:t>
      </w:r>
      <w:r>
        <w:rPr>
          <w:b/>
          <w:bCs/>
        </w:rPr>
        <w:t xml:space="preserve">logout button</w:t>
      </w:r>
      <w:r>
        <w:t xml:space="preserve"> </w:t>
      </w:r>
      <w:r>
        <w:t xml:space="preserve">in the PAMS UI will lock your account. Recovery requires opening a ticket with the PAMS help desk, exchanging emails, and waiting for them to reset your session — a process that can take a full business day. This is the single most common DOE-applicant disaster, and it always happens at 11 p.m. the night before a deadline.</w:t>
      </w:r>
      <w:r>
        <w:t xml:space="preserve"> </w:t>
      </w:r>
      <w:r>
        <w:rPr>
          <w:b/>
          <w:bCs/>
        </w:rPr>
        <w:t xml:space="preserve">Always click the green logout button. Always.</w:t>
      </w:r>
    </w:p>
    <w:p>
      <w:pPr>
        <w:pStyle w:val="FirstParagraph"/>
      </w:pPr>
      <w:r>
        <w:t xml:space="preserve">Setup notes:</w:t>
      </w:r>
    </w:p>
    <w:p>
      <w:pPr>
        <w:pStyle w:val="Compact"/>
        <w:numPr>
          <w:ilvl w:val="0"/>
          <w:numId w:val="101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first</w:t>
      </w:r>
      <w:r>
        <w:t xml:space="preserve"> </w:t>
      </w:r>
      <w:r>
        <w:t xml:space="preserve">PAMS user from your institution creates the institution record using your</w:t>
      </w:r>
      <w:r>
        <w:t xml:space="preserve"> </w:t>
      </w:r>
      <w:r>
        <w:rPr>
          <w:b/>
          <w:bCs/>
        </w:rPr>
        <w:t xml:space="preserve">UEI, EIN, and address</w:t>
      </w:r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Each PI, administrator, and other user thereafter must create their own individual PAMS account and request affiliation with the institution.</w:t>
      </w:r>
    </w:p>
    <w:p>
      <w:pPr>
        <w:pStyle w:val="Compact"/>
        <w:numPr>
          <w:ilvl w:val="0"/>
          <w:numId w:val="1014"/>
        </w:numPr>
      </w:pPr>
      <w:r>
        <w:t xml:space="preserve">Always log out via the green logout button in the PAMS UI. Do not close the browser tab while logged in. (Worth saying twice.)</w:t>
      </w:r>
    </w:p>
    <w:p>
      <w:pPr>
        <w:pStyle w:val="Compact"/>
        <w:numPr>
          <w:ilvl w:val="0"/>
          <w:numId w:val="1014"/>
        </w:numPr>
      </w:pPr>
      <w:r>
        <w:t xml:space="preserve">Maintenance windows happen often — keep your UEI, CAGE code, and PAMS credentials saved outside the system.</w:t>
      </w:r>
    </w:p>
    <w:p>
      <w:r>
        <w:pict>
          <v:rect style="width:0;height:1.5pt" o:hralign="center" o:hrstd="t" o:hr="t"/>
        </w:pict>
      </w:r>
    </w:p>
    <w:bookmarkEnd w:id="22"/>
    <w:bookmarkStart w:id="23" w:name="X213df39b442456e03295d47807736215b061003"/>
    <w:p>
      <w:pPr>
        <w:pStyle w:val="Heading2"/>
      </w:pPr>
      <w:r>
        <w:t xml:space="preserve">8. Adobe Acrobat — non-negotiable for some PDF forms</w:t>
      </w:r>
    </w:p>
    <w:p>
      <w:pPr>
        <w:pStyle w:val="BlockText"/>
      </w:pPr>
      <w:r>
        <w:rPr>
          <w:b/>
          <w:bCs/>
        </w:rPr>
        <w:t xml:space="preserve">⚠ Warning.</w:t>
      </w:r>
      <w:r>
        <w:t xml:space="preserve"> </w:t>
      </w:r>
      <w:r>
        <w:t xml:space="preserve">Several federal proposal packages — including some</w:t>
      </w:r>
      <w:r>
        <w:t xml:space="preserve"> </w:t>
      </w:r>
      <w:r>
        <w:rPr>
          <w:b/>
          <w:bCs/>
        </w:rPr>
        <w:t xml:space="preserve">NSF, DOD, and DOE/DOW</w:t>
      </w:r>
      <w:r>
        <w:t xml:space="preserve"> </w:t>
      </w:r>
      <w:r>
        <w:t xml:space="preserve">PDF forms — only render and submit correctly in</w:t>
      </w:r>
      <w:r>
        <w:t xml:space="preserve"> </w:t>
      </w:r>
      <w:r>
        <w:rPr>
          <w:b/>
          <w:bCs/>
        </w:rPr>
        <w:t xml:space="preserve">Adobe Acrobat</w:t>
      </w:r>
      <w:r>
        <w:t xml:space="preserve">. macOS Preview, third-party PDF tools, and even the free Adobe Reader (in some cases) can silently corrupt these forms when you save them.</w:t>
      </w:r>
    </w:p>
    <w:p>
      <w:pPr>
        <w:pStyle w:val="FirstParagraph"/>
      </w:pPr>
      <w:r>
        <w:t xml:space="preserve">These PDFs use Acrobat-specific form features (XFA forms, dynamic JavaScript-driven fields, embedded validation logic) that other PDF readers either can't render or quietly mangle on save. You can lose a proposal slot to a form that</w:t>
      </w:r>
      <w:r>
        <w:t xml:space="preserve"> </w:t>
      </w:r>
      <w:r>
        <w:rPr>
          <w:i/>
          <w:iCs/>
        </w:rPr>
        <w:t xml:space="preserve">looked</w:t>
      </w:r>
      <w:r>
        <w:t xml:space="preserve"> </w:t>
      </w:r>
      <w:r>
        <w:t xml:space="preserve">filled in on your screen but submitted blank.</w:t>
      </w:r>
    </w:p>
    <w:p>
      <w:pPr>
        <w:pStyle w:val="Compact"/>
        <w:numPr>
          <w:ilvl w:val="0"/>
          <w:numId w:val="1015"/>
        </w:numPr>
      </w:pPr>
      <w:r>
        <w:t xml:space="preserve">For NSF and DOD/DOE submissions,</w:t>
      </w:r>
      <w:r>
        <w:t xml:space="preserve"> </w:t>
      </w:r>
      <w:r>
        <w:rPr>
          <w:b/>
          <w:bCs/>
        </w:rPr>
        <w:t xml:space="preserve">fill PDFs in Adobe Acrobat</w:t>
      </w:r>
      <w:r>
        <w:t xml:space="preserve">, period.</w:t>
      </w:r>
    </w:p>
    <w:p>
      <w:pPr>
        <w:pStyle w:val="Compact"/>
        <w:numPr>
          <w:ilvl w:val="0"/>
          <w:numId w:val="1015"/>
        </w:numPr>
      </w:pPr>
      <w:r>
        <w:t xml:space="preserve">Test the form by filling a few fields, saving, closing, and reopening — check the fields persisted exactly as you typed them.</w:t>
      </w:r>
    </w:p>
    <w:p>
      <w:pPr>
        <w:pStyle w:val="Compact"/>
        <w:numPr>
          <w:ilvl w:val="0"/>
          <w:numId w:val="1015"/>
        </w:numPr>
      </w:pPr>
      <w:r>
        <w:t xml:space="preserve">If a form opens with a "Please wait..." message or visible rendering errors in Preview, that's the signal it needs Acrobat.</w:t>
      </w:r>
    </w:p>
    <w:p>
      <w:pPr>
        <w:pStyle w:val="Compact"/>
        <w:numPr>
          <w:ilvl w:val="0"/>
          <w:numId w:val="1015"/>
        </w:numPr>
      </w:pPr>
      <w:r>
        <w:t xml:space="preserve">Budget for an Acrobat seat on the proposal-writing computer. It's far cheaper than re-submitting in the next cycle.</w:t>
      </w:r>
    </w:p>
    <w:p>
      <w:r>
        <w:pict>
          <v:rect style="width:0;height:1.5pt" o:hralign="center" o:hrstd="t" o:hr="t"/>
        </w:pict>
      </w:r>
    </w:p>
    <w:bookmarkEnd w:id="23"/>
    <w:bookmarkStart w:id="29" w:name="Xb7d0d4abb907152a10b03780d669c1a6791532b"/>
    <w:p>
      <w:pPr>
        <w:pStyle w:val="Heading2"/>
      </w:pPr>
      <w:r>
        <w:t xml:space="preserve">9. Other agency systems you'll likely encounter</w:t>
      </w:r>
    </w:p>
    <w:p>
      <w:pPr>
        <w:pStyle w:val="FirstParagraph"/>
      </w:pPr>
      <w:r>
        <w:t xml:space="preserve">Beyond SAM.gov, Login.gov, ORCID, and SciENcv, each agency has its own identity / submission system. The most common across science-startup proposals: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Agency</w:t>
            </w:r>
          </w:p>
        </w:tc>
        <w:tc>
          <w:tcPr/>
          <w:p>
            <w:pPr>
              <w:pStyle w:val="Compact"/>
            </w:pPr>
            <w:r>
              <w:t xml:space="preserve">What it's for</w:t>
            </w:r>
          </w:p>
        </w:tc>
      </w:tr>
      <w:tr>
        <w:tc>
          <w:tcPr/>
          <w:p>
            <w:pPr>
              <w:pStyle w:val="Compact"/>
            </w:pPr>
            <w:hyperlink r:id="rId18">
              <w:r>
                <w:rPr>
                  <w:rStyle w:val="Hyperlink"/>
                </w:rPr>
                <w:t xml:space="preserve">Grants.gov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Cross-agency</w:t>
            </w:r>
          </w:p>
        </w:tc>
        <w:tc>
          <w:tcPr/>
          <w:p>
            <w:pPr>
              <w:pStyle w:val="Compact"/>
            </w:pPr>
            <w:r>
              <w:t xml:space="preserve">Discovery and submission for many federal grants</w:t>
            </w:r>
          </w:p>
        </w:tc>
      </w:tr>
      <w:tr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Research.gov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NSF</w:t>
            </w:r>
          </w:p>
        </w:tc>
        <w:tc>
          <w:tcPr/>
          <w:p>
            <w:pPr>
              <w:pStyle w:val="Compact"/>
            </w:pPr>
            <w:r>
              <w:t xml:space="preserve">NSF proposal submission, awards management</w:t>
            </w:r>
          </w:p>
        </w:tc>
      </w:tr>
      <w:tr>
        <w:tc>
          <w:tcPr/>
          <w:p>
            <w:pPr>
              <w:pStyle w:val="Compact"/>
            </w:pPr>
            <w:hyperlink r:id="rId25">
              <w:r>
                <w:rPr>
                  <w:rStyle w:val="Hyperlink"/>
                </w:rPr>
                <w:t xml:space="preserve">eRA Commons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NIH</w:t>
            </w:r>
          </w:p>
        </w:tc>
        <w:tc>
          <w:tcPr/>
          <w:p>
            <w:pPr>
              <w:pStyle w:val="Compact"/>
            </w:pPr>
            <w:r>
              <w:t xml:space="preserve">NIH proposal submission, progress reports, awards management</w:t>
            </w:r>
          </w:p>
        </w:tc>
      </w:tr>
      <w:tr>
        <w:tc>
          <w:tcPr/>
          <w:p>
            <w:pPr>
              <w:pStyle w:val="Compact"/>
            </w:pPr>
            <w:hyperlink r:id="rId21">
              <w:r>
                <w:rPr>
                  <w:rStyle w:val="Hyperlink"/>
                </w:rPr>
                <w:t xml:space="preserve">PAMS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DOE Office of Science</w:t>
            </w:r>
          </w:p>
        </w:tc>
        <w:tc>
          <w:tcPr/>
          <w:p>
            <w:pPr>
              <w:pStyle w:val="Compact"/>
            </w:pPr>
            <w:r>
              <w:t xml:space="preserve">DOE Office of Science SBIR/STTR and research-grant submissions</w:t>
            </w:r>
          </w:p>
        </w:tc>
      </w:tr>
      <w:tr>
        <w:tc>
          <w:tcPr/>
          <w:p>
            <w:pPr>
              <w:pStyle w:val="Compact"/>
            </w:pPr>
            <w:hyperlink r:id="rId26">
              <w:r>
                <w:rPr>
                  <w:rStyle w:val="Hyperlink"/>
                </w:rPr>
                <w:t xml:space="preserve">EERE Exchange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DOE EERE/BETO</w:t>
            </w:r>
          </w:p>
        </w:tc>
        <w:tc>
          <w:tcPr/>
          <w:p>
            <w:pPr>
              <w:pStyle w:val="Compact"/>
            </w:pPr>
            <w:r>
              <w:t xml:space="preserve">DOE EERE/BETO funding-opportunity submissions</w:t>
            </w:r>
          </w:p>
        </w:tc>
      </w:tr>
      <w:tr>
        <w:tc>
          <w:tcPr/>
          <w:p>
            <w:pPr>
              <w:pStyle w:val="Compact"/>
            </w:pPr>
            <w:hyperlink r:id="rId27">
              <w:r>
                <w:rPr>
                  <w:rStyle w:val="Hyperlink"/>
                </w:rPr>
                <w:t xml:space="preserve">USDA NIFA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USDA</w:t>
            </w:r>
          </w:p>
        </w:tc>
        <w:tc>
          <w:tcPr/>
          <w:p>
            <w:pPr>
              <w:pStyle w:val="Compact"/>
            </w:pPr>
            <w:r>
              <w:t xml:space="preserve">USDA SBIR/STTR and research-grant submissions</w:t>
            </w:r>
          </w:p>
        </w:tc>
      </w:tr>
      <w:tr>
        <w:tc>
          <w:tcPr/>
          <w:p>
            <w:pPr>
              <w:pStyle w:val="Compact"/>
            </w:pPr>
            <w:hyperlink r:id="rId28">
              <w:r>
                <w:rPr>
                  <w:rStyle w:val="Hyperlink"/>
                </w:rPr>
                <w:t xml:space="preserve">DSIP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DOD</w:t>
            </w:r>
          </w:p>
        </w:tc>
        <w:tc>
          <w:tcPr/>
          <w:p>
            <w:pPr>
              <w:pStyle w:val="Compact"/>
            </w:pPr>
            <w:r>
              <w:t xml:space="preserve">DOD SBIR/STTR submissions</w:t>
            </w:r>
          </w:p>
        </w:tc>
      </w:tr>
    </w:tbl>
    <w:p>
      <w:pPr>
        <w:pStyle w:val="BodyText"/>
      </w:pPr>
      <w:r>
        <w:t xml:space="preserve">Each system requires its own account. Use the shared</w:t>
      </w:r>
      <w:r>
        <w:t xml:space="preserve"> </w:t>
      </w:r>
      <w:r>
        <w:rPr>
          <w:rStyle w:val="VerbatimChar"/>
        </w:rPr>
        <w:t xml:space="preserve">grants@</w:t>
      </w:r>
      <w:r>
        <w:t xml:space="preserve"> </w:t>
      </w:r>
      <w:r>
        <w:t xml:space="preserve">mailbox as the contact address; tie individual user accounts to Login.gov and/or ORCID wherever supported.</w:t>
      </w:r>
    </w:p>
    <w:p>
      <w:r>
        <w:pict>
          <v:rect style="width:0;height:1.5pt" o:hralign="center" o:hrstd="t" o:hr="t"/>
        </w:pict>
      </w:r>
    </w:p>
    <w:bookmarkEnd w:id="29"/>
    <w:bookmarkStart w:id="32" w:name="Xc45afbb8a9bd249c72d3f806a1a577d5b17b267"/>
    <w:p>
      <w:pPr>
        <w:pStyle w:val="Heading2"/>
      </w:pPr>
      <w:r>
        <w:t xml:space="preserve">10. Setup checklist</w:t>
      </w:r>
    </w:p>
    <w:p>
      <w:pPr>
        <w:pStyle w:val="SourceCode"/>
      </w:pPr>
      <w:r>
        <w:rPr>
          <w:rStyle w:val="FunctionTok"/>
        </w:rPr>
        <w:t xml:space="preserve">## Shared mailbox &amp; team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grants@</w:t>
      </w:r>
      <w:r>
        <w:rPr>
          <w:rStyle w:val="DataTypeTok"/>
        </w:rPr>
        <w:t xml:space="preserve">&lt;</w:t>
      </w:r>
      <w:r>
        <w:rPr>
          <w:rStyle w:val="KeywordTok"/>
        </w:rPr>
        <w:t xml:space="preserve">your-domain</w:t>
      </w:r>
      <w:r>
        <w:rPr>
          <w:rStyle w:val="DataTypeTok"/>
        </w:rPr>
        <w:t xml:space="preserve">&gt;</w:t>
      </w:r>
      <w:r>
        <w:rPr>
          <w:rStyle w:val="NormalTok"/>
        </w:rPr>
        <w:t xml:space="preserve"> shared inbox set up (Outlook shared inbox or Google Collaborative Inbox)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PI, research team, ops, and backup members added with send-as access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Email signature and out-of-office routing configured</w:t>
      </w:r>
      <w:r>
        <w:br/>
      </w:r>
      <w:r>
        <w:br/>
      </w:r>
      <w:r>
        <w:rPr>
          <w:rStyle w:val="FunctionTok"/>
        </w:rPr>
        <w:t xml:space="preserve">## Entity identifiers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SAM.gov registration started using a real physical address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UEI received and saved offline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CAGE code received and saved offline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SAM.gov renewal date in calendar (60-day reminder)</w:t>
      </w:r>
      <w:r>
        <w:br/>
      </w:r>
      <w:r>
        <w:br/>
      </w:r>
      <w:r>
        <w:rPr>
          <w:rStyle w:val="FunctionTok"/>
        </w:rPr>
        <w:t xml:space="preserve">## Federated logins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Login.gov account for each PI and Ops user (under their own name)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ORCID iD for every research team member, using a personal email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ORCID profiles populated with education, employment, and publications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SciENcv account linked to ORCID and NSF Research.gov</w:t>
      </w:r>
      <w:r>
        <w:br/>
      </w:r>
      <w:r>
        <w:br/>
      </w:r>
      <w:r>
        <w:rPr>
          <w:rStyle w:val="FunctionTok"/>
        </w:rPr>
        <w:t xml:space="preserve">## Agency systems (as needed for your proposals)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Grants.gov account for each submitter (linked to organization UEI)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EBiz POC confirmed in SAM.gov; each submitter approved as an AOR by the EBiz POC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At least two AORs designated so a single absence does not block submissions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Research.gov (NSF) account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eRA Commons (NIH) account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DOE PAMS institution + individual accounts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DOE EERE Exchange account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DOD DSIP account</w:t>
      </w:r>
      <w:r>
        <w:br/>
      </w:r>
      <w:r>
        <w:br/>
      </w:r>
      <w:r>
        <w:rPr>
          <w:rStyle w:val="FunctionTok"/>
        </w:rPr>
        <w:t xml:space="preserve">## Submission tooling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Adobe Acrobat installed and licensed on the proposal-writing computer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One round-trip test (fill → save → reopen → verify) on each agency's PDF forms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Shared drive / folder for in-flight proposals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Calendar reminders for upcoming FOA deadlines (with 14-day pre-warnings)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guide pairs with the</w:t>
      </w:r>
      <w:r>
        <w:rPr>
          <w:i/>
          <w:iCs/>
        </w:rPr>
        <w:t xml:space="preserve"> </w:t>
      </w:r>
      <w:hyperlink r:id="rId30">
        <w:r>
          <w:rPr>
            <w:rStyle w:val="Hyperlink"/>
            <w:i/>
            <w:iCs/>
          </w:rPr>
          <w:t xml:space="preserve">Incorporated to Operational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guide (operational steps beyond setup) and the</w:t>
      </w:r>
      <w:r>
        <w:rPr>
          <w:i/>
          <w:iCs/>
        </w:rPr>
        <w:t xml:space="preserve"> </w:t>
      </w:r>
      <w:hyperlink r:id="rId31">
        <w:r>
          <w:rPr>
            <w:rStyle w:val="Hyperlink"/>
            <w:i/>
            <w:iCs/>
          </w:rPr>
          <w:t xml:space="preserve">SBIR Agency Links &amp; Resources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directory (where the actual FOAs live).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9" Target="/assets/files/company-facts-template.docx" TargetMode="External" /><Relationship Type="http://schemas.openxmlformats.org/officeDocument/2006/relationships/hyperlink" Id="rId30" Target="/guides/incorporated-to-operational" TargetMode="External" /><Relationship Type="http://schemas.openxmlformats.org/officeDocument/2006/relationships/hyperlink" Id="rId31" Target="/guides/sbir-agency-links" TargetMode="External" /><Relationship Type="http://schemas.openxmlformats.org/officeDocument/2006/relationships/hyperlink" Id="rId26" Target="https://eere-exchange.energy.gov/" TargetMode="External" /><Relationship Type="http://schemas.openxmlformats.org/officeDocument/2006/relationships/hyperlink" Id="rId25" Target="https://era.nih.gov/era-commons.htm" TargetMode="External" /><Relationship Type="http://schemas.openxmlformats.org/officeDocument/2006/relationships/hyperlink" Id="rId12" Target="https://login.gov" TargetMode="External" /><Relationship Type="http://schemas.openxmlformats.org/officeDocument/2006/relationships/hyperlink" Id="rId14" Target="https://orcid.org" TargetMode="External" /><Relationship Type="http://schemas.openxmlformats.org/officeDocument/2006/relationships/hyperlink" Id="rId21" Target="https://pamspublic.science.energy.gov" TargetMode="External" /><Relationship Type="http://schemas.openxmlformats.org/officeDocument/2006/relationships/hyperlink" Id="rId28" Target="https://www.dodsbirsttr.mil" TargetMode="External" /><Relationship Type="http://schemas.openxmlformats.org/officeDocument/2006/relationships/hyperlink" Id="rId18" Target="https://www.grants.gov" TargetMode="External" /><Relationship Type="http://schemas.openxmlformats.org/officeDocument/2006/relationships/hyperlink" Id="rId16" Target="https://www.ncbi.nlm.nih.gov/sciencv/" TargetMode="External" /><Relationship Type="http://schemas.openxmlformats.org/officeDocument/2006/relationships/hyperlink" Id="rId27" Target="https://www.nifa.usda.gov" TargetMode="External" /><Relationship Type="http://schemas.openxmlformats.org/officeDocument/2006/relationships/hyperlink" Id="rId24" Target="https://www.research.go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9" Target="/assets/files/company-facts-template.docx" TargetMode="External" /><Relationship Type="http://schemas.openxmlformats.org/officeDocument/2006/relationships/hyperlink" Id="rId30" Target="/guides/incorporated-to-operational" TargetMode="External" /><Relationship Type="http://schemas.openxmlformats.org/officeDocument/2006/relationships/hyperlink" Id="rId31" Target="/guides/sbir-agency-links" TargetMode="External" /><Relationship Type="http://schemas.openxmlformats.org/officeDocument/2006/relationships/hyperlink" Id="rId26" Target="https://eere-exchange.energy.gov/" TargetMode="External" /><Relationship Type="http://schemas.openxmlformats.org/officeDocument/2006/relationships/hyperlink" Id="rId25" Target="https://era.nih.gov/era-commons.htm" TargetMode="External" /><Relationship Type="http://schemas.openxmlformats.org/officeDocument/2006/relationships/hyperlink" Id="rId12" Target="https://login.gov" TargetMode="External" /><Relationship Type="http://schemas.openxmlformats.org/officeDocument/2006/relationships/hyperlink" Id="rId14" Target="https://orcid.org" TargetMode="External" /><Relationship Type="http://schemas.openxmlformats.org/officeDocument/2006/relationships/hyperlink" Id="rId21" Target="https://pamspublic.science.energy.gov" TargetMode="External" /><Relationship Type="http://schemas.openxmlformats.org/officeDocument/2006/relationships/hyperlink" Id="rId28" Target="https://www.dodsbirsttr.mil" TargetMode="External" /><Relationship Type="http://schemas.openxmlformats.org/officeDocument/2006/relationships/hyperlink" Id="rId18" Target="https://www.grants.gov" TargetMode="External" /><Relationship Type="http://schemas.openxmlformats.org/officeDocument/2006/relationships/hyperlink" Id="rId16" Target="https://www.ncbi.nlm.nih.gov/sciencv/" TargetMode="External" /><Relationship Type="http://schemas.openxmlformats.org/officeDocument/2006/relationships/hyperlink" Id="rId27" Target="https://www.nifa.usda.gov" TargetMode="External" /><Relationship Type="http://schemas.openxmlformats.org/officeDocument/2006/relationships/hyperlink" Id="rId24" Target="https://www.research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Up to Submit Federal Grants — Best Practices</dc:title>
  <dc:creator/>
  <cp:keywords/>
  <dcterms:created xsi:type="dcterms:W3CDTF">2026-06-15T23:49:52Z</dcterms:created>
  <dcterms:modified xsi:type="dcterms:W3CDTF">2026-06-15T23:49:52Z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